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E2F" w:rsidRPr="00587E2F" w:rsidRDefault="00587E2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ПИСЬМО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от 24 февраля 2026 г. N 31-2/И/2-3021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 МЕТОДИЧЕСКИХ РЕКОМЕНДАЦИЯХ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ПО СПОСОБАМ ОПЛАТЫ МЕДИЦИНСКОЙ ПОМОЩИ ЗА СЧЕТ СРЕДСТВ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587E2F" w:rsidRDefault="005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 xml:space="preserve">Министерство здравоохранения Российской Федерации направляет для руководства и использования в работе Методические </w:t>
      </w:r>
      <w:hyperlink w:anchor="P21">
        <w:r w:rsidRPr="00587E2F">
          <w:rPr>
            <w:rFonts w:ascii="Times New Roman" w:hAnsi="Times New Roman" w:cs="Times New Roman"/>
            <w:color w:val="0000FF"/>
            <w:sz w:val="24"/>
            <w:szCs w:val="24"/>
          </w:rPr>
          <w:t>рекомендации</w:t>
        </w:r>
      </w:hyperlink>
      <w:r w:rsidRPr="00587E2F">
        <w:rPr>
          <w:rFonts w:ascii="Times New Roman" w:hAnsi="Times New Roman" w:cs="Times New Roman"/>
          <w:sz w:val="24"/>
          <w:szCs w:val="24"/>
        </w:rPr>
        <w:t xml:space="preserve"> по способам оплаты медицинской помощи за счет средств обязательного медицинского страхования, разработанные рабочей группой Министерства здравоохранения Российской Федерации по актуализации методологических подходов к оплате медицинской помощи за счет средств обязательного медицинского страхования в рамках программы государственных гарантий бесплатного оказания гражданам медицинской помощи (утверждена приказом Министерства здравоохранения Российской Федерации от 13 мая 2022 г. N 321), взамен Методических </w:t>
      </w:r>
      <w:hyperlink r:id="rId5">
        <w:r w:rsidRPr="00587E2F">
          <w:rPr>
            <w:rFonts w:ascii="Times New Roman" w:hAnsi="Times New Roman" w:cs="Times New Roman"/>
            <w:color w:val="0000FF"/>
            <w:sz w:val="24"/>
            <w:szCs w:val="24"/>
          </w:rPr>
          <w:t>рекомендаций</w:t>
        </w:r>
      </w:hyperlink>
      <w:r w:rsidRPr="00587E2F">
        <w:rPr>
          <w:rFonts w:ascii="Times New Roman" w:hAnsi="Times New Roman" w:cs="Times New Roman"/>
          <w:sz w:val="24"/>
          <w:szCs w:val="24"/>
        </w:rPr>
        <w:t xml:space="preserve"> по способам оплаты медицинской помощи за счет средств обязательного медицинского страхования, направленных в субъекты Российской Федерации совместным письмом Министерства здравоохранения Российской Федерации и Федерального фонда обязательного медицинского страхования от 28 января 2025 г. N 31-2/115 - 00-10-26-2-06/965.</w:t>
      </w:r>
    </w:p>
    <w:p w:rsidR="00587E2F" w:rsidRPr="00587E2F" w:rsidRDefault="005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В.А.ЗЕЛЕНСКИЙ</w:t>
      </w: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A46AF" w:rsidRDefault="001A46A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Приложение</w:t>
      </w:r>
    </w:p>
    <w:p w:rsidR="00587E2F" w:rsidRDefault="00587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ФЕДЕРАЛЬНЫЙ ФОНД ОБЯЗАТЕЛЬНОГО МЕДИЦИНСКОГО СТРАХОВАНИЯ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1"/>
      <w:bookmarkEnd w:id="0"/>
      <w:r w:rsidRPr="00587E2F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ПО СПОСОБАМ ОПЛАТЫ МЕДИЦИНСКОЙ ПОМОЩИ ЗА СЧЕТ СРЕДСТВ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Первый заместитель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Министра здравоохранения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В.А.ЗЕЛЕНСКИЙ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от 20.02.2026 N 31-2/И/2-2902</w:t>
      </w:r>
    </w:p>
    <w:p w:rsidR="00587E2F" w:rsidRPr="00587E2F" w:rsidRDefault="00587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lastRenderedPageBreak/>
        <w:t>Председатель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Федерального фонда обязательного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медицинского страхования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И.В.БАЛАНИН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от 20.02.2026 N 00-10-26-2-06/3109</w:t>
      </w:r>
    </w:p>
    <w:p w:rsidR="00587E2F" w:rsidRPr="00587E2F" w:rsidRDefault="00587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Одобрено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решением рабочей группы Министерства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здравоохранения Российской Федерации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в части оплаты медицинской помощи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в условиях круглосуточного и дневного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стационаров по клинико-статистическим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группам за счет средств обязательного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медицинского страхования в рамках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программы государственных гарантий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медицинской помощи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(протокол заседания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от 16.02.2026 N 90/31-2/54)</w:t>
      </w:r>
    </w:p>
    <w:p w:rsidR="00587E2F" w:rsidRDefault="00587E2F">
      <w:pPr>
        <w:pStyle w:val="ConsPlusTitle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Title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 w:rsidP="00587E2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 xml:space="preserve">II. СПОСОБЫ ОПЛАТЫ ПЕРВИЧНОЙ МЕДИКО-САНИТАРНОЙ ПОМОЩИ, В ТОМ ЧИСЛЕ НА ОСНОВЕ ПОДУШЕВОГО НОРМАТИВА ФИНАНСИРОВАНИЯ НА ПРИКРЕПИВШИХСЯ ЛИЦ </w:t>
      </w:r>
    </w:p>
    <w:p w:rsidR="00587E2F" w:rsidRDefault="00587E2F" w:rsidP="00587E2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87E2F" w:rsidRPr="00587E2F" w:rsidRDefault="00587E2F" w:rsidP="00587E2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87E2F">
        <w:rPr>
          <w:rFonts w:ascii="Times New Roman" w:hAnsi="Times New Roman" w:cs="Times New Roman"/>
          <w:b/>
          <w:bCs/>
          <w:sz w:val="24"/>
          <w:szCs w:val="24"/>
        </w:rPr>
        <w:t>2. Расчет объема финансового обеспечения первичной медико-санитарной помощи в амбулаторных условиях</w:t>
      </w:r>
    </w:p>
    <w:p w:rsidR="001A46AF" w:rsidRDefault="001A46AF">
      <w:pPr>
        <w:pStyle w:val="ConsPlusTitle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DC28EB" w:rsidRPr="00DC28EB" w:rsidRDefault="00DC28EB">
      <w:pPr>
        <w:spacing w:after="1" w:line="22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28EB">
        <w:rPr>
          <w:rFonts w:ascii="Times New Roman" w:hAnsi="Times New Roman" w:cs="Times New Roman"/>
          <w:b/>
          <w:sz w:val="24"/>
          <w:szCs w:val="24"/>
        </w:rPr>
        <w:t>2.9.5. Оплата медицинской помощи, оказанной в центрах</w:t>
      </w:r>
    </w:p>
    <w:p w:rsidR="00DC28EB" w:rsidRPr="00DC28EB" w:rsidRDefault="00DC28EB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8EB">
        <w:rPr>
          <w:rFonts w:ascii="Times New Roman" w:hAnsi="Times New Roman" w:cs="Times New Roman"/>
          <w:b/>
          <w:sz w:val="24"/>
          <w:szCs w:val="24"/>
        </w:rPr>
        <w:t>здоровья (центрах медицины здорового долголетия)</w:t>
      </w:r>
    </w:p>
    <w:p w:rsidR="00DC28EB" w:rsidRPr="00DC28EB" w:rsidRDefault="00DC28EB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C28EB" w:rsidRPr="00DC28EB" w:rsidRDefault="00DC28EB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28E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>
        <w:r w:rsidRPr="00DC28EB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DC28EB">
        <w:rPr>
          <w:rFonts w:ascii="Times New Roman" w:hAnsi="Times New Roman" w:cs="Times New Roman"/>
          <w:sz w:val="24"/>
          <w:szCs w:val="24"/>
        </w:rPr>
        <w:t xml:space="preserve"> оплата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DC28EB">
        <w:rPr>
          <w:rFonts w:ascii="Times New Roman" w:hAnsi="Times New Roman" w:cs="Times New Roman"/>
          <w:sz w:val="24"/>
          <w:szCs w:val="24"/>
        </w:rPr>
        <w:t>предрисками</w:t>
      </w:r>
      <w:proofErr w:type="spellEnd"/>
      <w:r w:rsidRPr="00DC28EB">
        <w:rPr>
          <w:rFonts w:ascii="Times New Roman" w:hAnsi="Times New Roman" w:cs="Times New Roman"/>
          <w:sz w:val="24"/>
          <w:szCs w:val="24"/>
        </w:rPr>
        <w:t xml:space="preserve"> и факторами риска развития заболеваний осуществляется вне </w:t>
      </w:r>
      <w:proofErr w:type="spellStart"/>
      <w:r w:rsidRPr="00DC28EB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DC28EB">
        <w:rPr>
          <w:rFonts w:ascii="Times New Roman" w:hAnsi="Times New Roman" w:cs="Times New Roman"/>
          <w:sz w:val="24"/>
          <w:szCs w:val="24"/>
        </w:rPr>
        <w:t xml:space="preserve"> норматива финансирования за единицу объема медицинской помощи - комплексное посещение.</w:t>
      </w:r>
    </w:p>
    <w:p w:rsidR="00DC28EB" w:rsidRPr="00DC28EB" w:rsidRDefault="00DC28E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28E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оказанию медицинской помощи пациентам с факторами риска развития хронических неинфекционных заболеваний в центрах здоровья (центрах медицины здорового долголетия) для взрослых утверждены главным внештатным специалистом по терапии и общей врачебной практике Министерства здравоохранения Российской Федерации О.М. </w:t>
      </w:r>
      <w:proofErr w:type="spellStart"/>
      <w:r w:rsidRPr="00DC28EB">
        <w:rPr>
          <w:rFonts w:ascii="Times New Roman" w:hAnsi="Times New Roman" w:cs="Times New Roman"/>
          <w:sz w:val="24"/>
          <w:szCs w:val="24"/>
        </w:rPr>
        <w:t>Драпкиной</w:t>
      </w:r>
      <w:proofErr w:type="spellEnd"/>
      <w:r w:rsidRPr="00DC28EB">
        <w:rPr>
          <w:rFonts w:ascii="Times New Roman" w:hAnsi="Times New Roman" w:cs="Times New Roman"/>
          <w:sz w:val="24"/>
          <w:szCs w:val="24"/>
        </w:rPr>
        <w:t>.</w:t>
      </w:r>
    </w:p>
    <w:p w:rsidR="00DC28EB" w:rsidRPr="00DC28EB" w:rsidRDefault="00DC28E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28EB">
        <w:rPr>
          <w:rFonts w:ascii="Times New Roman" w:hAnsi="Times New Roman" w:cs="Times New Roman"/>
          <w:sz w:val="24"/>
          <w:szCs w:val="24"/>
        </w:rPr>
        <w:t xml:space="preserve">В Тарифном соглашении субъекта Российской Федерации устанавливаются дифференцированные тарифы в разрезе медицинских услуг на оплату посещения с профилактическими целями центров здоровья (центров медицины здорового долголетия) в зависимости от вида приема пациента согласно Таблице 6. Динамическое наблюдение за выявленными </w:t>
      </w:r>
      <w:proofErr w:type="spellStart"/>
      <w:r w:rsidRPr="00DC28EB">
        <w:rPr>
          <w:rFonts w:ascii="Times New Roman" w:hAnsi="Times New Roman" w:cs="Times New Roman"/>
          <w:sz w:val="24"/>
          <w:szCs w:val="24"/>
        </w:rPr>
        <w:t>предрисками</w:t>
      </w:r>
      <w:proofErr w:type="spellEnd"/>
      <w:r w:rsidRPr="00DC28EB">
        <w:rPr>
          <w:rFonts w:ascii="Times New Roman" w:hAnsi="Times New Roman" w:cs="Times New Roman"/>
          <w:sz w:val="24"/>
          <w:szCs w:val="24"/>
        </w:rPr>
        <w:t xml:space="preserve"> и факторами риска развития заболеваний, предусмотренное </w:t>
      </w:r>
      <w:hyperlink r:id="rId7">
        <w:r w:rsidRPr="00DC28EB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DC28EB">
        <w:rPr>
          <w:rFonts w:ascii="Times New Roman" w:hAnsi="Times New Roman" w:cs="Times New Roman"/>
          <w:sz w:val="24"/>
          <w:szCs w:val="24"/>
        </w:rPr>
        <w:t>, оплачивается по установленным в таблице 6 тарифам для диспансерных приемов.</w:t>
      </w:r>
    </w:p>
    <w:p w:rsidR="00DC28EB" w:rsidRPr="00DC28EB" w:rsidRDefault="00DC28EB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C28EB" w:rsidRPr="00DC28EB" w:rsidRDefault="00DC28EB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C28EB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665"/>
        <w:gridCol w:w="3001"/>
        <w:gridCol w:w="1928"/>
      </w:tblGrid>
      <w:tr w:rsidR="00DC28EB" w:rsidRPr="00DC28EB" w:rsidTr="00DC28EB">
        <w:trPr>
          <w:tblHeader/>
        </w:trPr>
        <w:tc>
          <w:tcPr>
            <w:tcW w:w="1984" w:type="dxa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Вид приема</w:t>
            </w:r>
          </w:p>
        </w:tc>
        <w:tc>
          <w:tcPr>
            <w:tcW w:w="2665" w:type="dxa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3001" w:type="dxa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1928" w:type="dxa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стоимость, руб. (без учета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Кдиф</w:t>
            </w:r>
            <w:proofErr w:type="spellEnd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C28EB" w:rsidRPr="00DC28EB" w:rsidTr="00DC28EB">
        <w:tc>
          <w:tcPr>
            <w:tcW w:w="1984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Первичное посещение</w:t>
            </w:r>
          </w:p>
        </w:tc>
        <w:tc>
          <w:tcPr>
            <w:tcW w:w="2665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      </w: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врачом/фельдшером индивидуального углубленного профилактического консультирования</w:t>
            </w:r>
          </w:p>
        </w:tc>
        <w:tc>
          <w:tcPr>
            <w:tcW w:w="1928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8EB">
              <w:rPr>
                <w:rFonts w:ascii="Times New Roman" w:hAnsi="Times New Roman" w:cs="Times New Roman"/>
                <w:sz w:val="24"/>
                <w:szCs w:val="24"/>
              </w:rPr>
              <w:t>809,82</w:t>
            </w: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Анкетирование пациента по теме ЗОЖ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Анкетирование пациента по вопросам питания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биоимпедансометрии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антропометрии (рост, вес, окружность талии)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динамометрии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исследования при помощи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смокелайзера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спирометрии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пульсоксиметрии</w:t>
            </w:r>
            <w:proofErr w:type="spellEnd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/применение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ангиоскана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Разработка врачом/фельдшером программы по ЗОЖ, ее разъяснение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Разработка врачом/фельдшером рекомендации по здоровому питанию, их разъяснение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Первый диспансерный прием (повторное посещение с применением телемедицинских технологий)</w:t>
            </w:r>
          </w:p>
        </w:tc>
        <w:tc>
          <w:tcPr>
            <w:tcW w:w="2665" w:type="dxa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взрослых. Услуга выполняется через 3 месяца с момента постановки на диспансерное наблюдение</w:t>
            </w:r>
          </w:p>
        </w:tc>
        <w:tc>
          <w:tcPr>
            <w:tcW w:w="3001" w:type="dxa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Прием врачом/фельдшером центра здоровья для взрослых с использованием цифровых клинических сервисов</w:t>
            </w:r>
          </w:p>
        </w:tc>
        <w:tc>
          <w:tcPr>
            <w:tcW w:w="1928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8EB">
              <w:rPr>
                <w:rFonts w:ascii="Times New Roman" w:hAnsi="Times New Roman" w:cs="Times New Roman"/>
                <w:sz w:val="24"/>
                <w:szCs w:val="24"/>
              </w:rPr>
              <w:t>256,35</w:t>
            </w:r>
          </w:p>
        </w:tc>
      </w:tr>
      <w:tr w:rsidR="00DC28EB" w:rsidRPr="00DC28EB" w:rsidTr="00DC28EB">
        <w:tc>
          <w:tcPr>
            <w:tcW w:w="1984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Второй диспансерный прием (повторное посещение) с осмотром (консультацией) врачом-диетологом</w:t>
            </w:r>
          </w:p>
        </w:tc>
        <w:tc>
          <w:tcPr>
            <w:tcW w:w="2665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взрослых. Услуга выполняется через 6 месяцев с момента постановки на диспансерное наблюдение</w:t>
            </w: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Прием (осмотр) врачом/фельдшером центра здоровья для взрослых</w:t>
            </w:r>
          </w:p>
        </w:tc>
        <w:tc>
          <w:tcPr>
            <w:tcW w:w="1928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8EB">
              <w:rPr>
                <w:rFonts w:ascii="Times New Roman" w:hAnsi="Times New Roman" w:cs="Times New Roman"/>
                <w:sz w:val="24"/>
                <w:szCs w:val="24"/>
              </w:rPr>
              <w:t>1 293,39</w:t>
            </w: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Анкетирование пациента по теме ЗОЖ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Анкетирование пациента по вопросам питания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биоимпедансометрии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антропометрии (рост, вес, окружность талии, окружность бедер, вычисление ИМТ)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динамометрии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исследования при помощи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смокелайзера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спирометрии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пульсоксиметрии</w:t>
            </w:r>
            <w:proofErr w:type="spellEnd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/применение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ангиоскана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Осмотр (консультация) психологом (по показаниям)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Осмотр (консультация) врачом-диетологом (по показаниям)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Второй диспансерный прием (повторное посещение) без осмотра (консультации) врачом-диетологом</w:t>
            </w:r>
          </w:p>
        </w:tc>
        <w:tc>
          <w:tcPr>
            <w:tcW w:w="2665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взрослых. Услуга выполняется через 6 месяцев с момента постановки на диспансерное наблюдение</w:t>
            </w: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Прием (осмотр) врачом/фельдшером центра здоровья для взрослых</w:t>
            </w:r>
          </w:p>
        </w:tc>
        <w:tc>
          <w:tcPr>
            <w:tcW w:w="1928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8EB">
              <w:rPr>
                <w:rFonts w:ascii="Times New Roman" w:hAnsi="Times New Roman" w:cs="Times New Roman"/>
                <w:sz w:val="24"/>
                <w:szCs w:val="24"/>
              </w:rPr>
              <w:t>705,04</w:t>
            </w: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Анкетирование пациента по теме ЗОЖ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Анкетирование пациента по вопросам питания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биоимпедансометрии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антропометрии (рост, вес, окружность талии, окружность бедер, вычисление ИМТ)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динамометрии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исследования при помощи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смокелайзера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спирометрии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пульсоксиметрии</w:t>
            </w:r>
            <w:proofErr w:type="spellEnd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/применение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ангиоскана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Осмотр (консультация) психологом (по показаниям)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Третий диспансерные прием (повторное посещение)</w:t>
            </w:r>
          </w:p>
        </w:tc>
        <w:tc>
          <w:tcPr>
            <w:tcW w:w="2665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взрослых. Услуга выполняется через 12 месяцев с момента постановки на диспансерное наблюдение</w:t>
            </w: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Прием (осмотр) врачом/фельдшером центра здоровья для взрослых</w:t>
            </w:r>
          </w:p>
        </w:tc>
        <w:tc>
          <w:tcPr>
            <w:tcW w:w="1928" w:type="dxa"/>
            <w:vMerge w:val="restart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8EB">
              <w:rPr>
                <w:rFonts w:ascii="Times New Roman" w:hAnsi="Times New Roman" w:cs="Times New Roman"/>
                <w:sz w:val="24"/>
                <w:szCs w:val="24"/>
              </w:rPr>
              <w:t>344,74</w:t>
            </w: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биоимпедансометрии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антропометрии (рост, вес, окружность талии, окружность бедер, вычисление ИМТ)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динамометрии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исследования при помощи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смокелайзера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Проведение спирометрии</w:t>
            </w:r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8EB" w:rsidRPr="00DC28EB" w:rsidTr="00DC28EB">
        <w:tc>
          <w:tcPr>
            <w:tcW w:w="1984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vAlign w:val="center"/>
          </w:tcPr>
          <w:p w:rsidR="00DC28EB" w:rsidRPr="00DC28EB" w:rsidRDefault="00DC28E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пульсоксиметрии</w:t>
            </w:r>
            <w:proofErr w:type="spellEnd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 xml:space="preserve">/применение </w:t>
            </w:r>
            <w:proofErr w:type="spellStart"/>
            <w:r w:rsidRPr="00DC28EB">
              <w:rPr>
                <w:rFonts w:ascii="Times New Roman" w:hAnsi="Times New Roman" w:cs="Times New Roman"/>
                <w:sz w:val="20"/>
                <w:szCs w:val="20"/>
              </w:rPr>
              <w:t>ангиоскана</w:t>
            </w:r>
            <w:proofErr w:type="spellEnd"/>
          </w:p>
        </w:tc>
        <w:tc>
          <w:tcPr>
            <w:tcW w:w="1928" w:type="dxa"/>
            <w:vMerge/>
          </w:tcPr>
          <w:p w:rsidR="00DC28EB" w:rsidRPr="00DC28EB" w:rsidRDefault="00DC2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28EB" w:rsidRPr="00DC28EB" w:rsidRDefault="00DC28EB" w:rsidP="00DC28EB">
      <w:pPr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28EB">
        <w:rPr>
          <w:rFonts w:ascii="Times New Roman" w:hAnsi="Times New Roman" w:cs="Times New Roman"/>
          <w:sz w:val="24"/>
          <w:szCs w:val="24"/>
        </w:rPr>
        <w:t xml:space="preserve">Учитывая, что Методическими рекомендациями по оказанию медицинской помощи пациентам с факторами риска развития хронических неинфекционных заболеваний в центрах здоровья для взрослых, утвержденных главным внештатным специалистом по терапии и общей врачебной практике Министерства здравоохранения Российской Федерации О.М. </w:t>
      </w:r>
      <w:proofErr w:type="spellStart"/>
      <w:r w:rsidRPr="00DC28EB">
        <w:rPr>
          <w:rFonts w:ascii="Times New Roman" w:hAnsi="Times New Roman" w:cs="Times New Roman"/>
          <w:sz w:val="24"/>
          <w:szCs w:val="24"/>
        </w:rPr>
        <w:t>Драпкиной</w:t>
      </w:r>
      <w:proofErr w:type="spellEnd"/>
      <w:r w:rsidRPr="00DC28EB">
        <w:rPr>
          <w:rFonts w:ascii="Times New Roman" w:hAnsi="Times New Roman" w:cs="Times New Roman"/>
          <w:sz w:val="24"/>
          <w:szCs w:val="24"/>
        </w:rPr>
        <w:t>, проведение групповых консультирований в центрах здоровья не предусмотрено, оплате за счет средств обязательного медицинского страхования в пределах объема средств, предусмотренных территориальной программой обязательного медицинского страхования, групповые консультации не подлежат.</w:t>
      </w:r>
    </w:p>
    <w:p w:rsidR="00DC28EB" w:rsidRPr="00DC28EB" w:rsidRDefault="00DC28EB" w:rsidP="00DC28EB">
      <w:pPr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28EB">
        <w:rPr>
          <w:rFonts w:ascii="Times New Roman" w:hAnsi="Times New Roman" w:cs="Times New Roman"/>
          <w:sz w:val="24"/>
          <w:szCs w:val="24"/>
        </w:rPr>
        <w:t xml:space="preserve">В тарифных соглашениях устанавливаются дифференцированные тарифы в разрезе медицинских услуг, проводимые в центрах здоровья (центрах медицины здорового долголетия) и направленные на 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заболеваний, согласно </w:t>
      </w:r>
      <w:hyperlink r:id="rId8">
        <w:r w:rsidRPr="00DC28EB">
          <w:rPr>
            <w:rFonts w:ascii="Times New Roman" w:hAnsi="Times New Roman" w:cs="Times New Roman"/>
            <w:sz w:val="24"/>
            <w:szCs w:val="24"/>
          </w:rPr>
          <w:t>Приложению N 7</w:t>
        </w:r>
      </w:hyperlink>
      <w:r w:rsidRPr="00DC28EB">
        <w:rPr>
          <w:rFonts w:ascii="Times New Roman" w:hAnsi="Times New Roman" w:cs="Times New Roman"/>
          <w:sz w:val="24"/>
          <w:szCs w:val="24"/>
        </w:rPr>
        <w:t xml:space="preserve"> к Программе.</w:t>
      </w:r>
    </w:p>
    <w:p w:rsidR="00DC28EB" w:rsidRPr="00DC28EB" w:rsidRDefault="00DC28EB" w:rsidP="00DC28EB">
      <w:pPr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28EB">
        <w:rPr>
          <w:rFonts w:ascii="Times New Roman" w:hAnsi="Times New Roman" w:cs="Times New Roman"/>
          <w:sz w:val="24"/>
          <w:szCs w:val="24"/>
        </w:rPr>
        <w:t>При этом стоимость единицы объема формируется как сумма тарифов фактически оказанных медицинских услуг.</w:t>
      </w:r>
    </w:p>
    <w:bookmarkStart w:id="1" w:name="_GoBack"/>
    <w:p w:rsidR="00DC28EB" w:rsidRPr="00DC28EB" w:rsidRDefault="00DC28EB" w:rsidP="00DC28EB">
      <w:pPr>
        <w:spacing w:before="120"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C28EB">
        <w:rPr>
          <w:rFonts w:ascii="Times New Roman" w:hAnsi="Times New Roman" w:cs="Times New Roman"/>
          <w:i/>
          <w:sz w:val="20"/>
          <w:szCs w:val="20"/>
        </w:rPr>
        <w:fldChar w:fldCharType="begin"/>
      </w:r>
      <w:r w:rsidRPr="00DC28EB">
        <w:rPr>
          <w:rFonts w:ascii="Times New Roman" w:hAnsi="Times New Roman" w:cs="Times New Roman"/>
          <w:i/>
          <w:sz w:val="20"/>
          <w:szCs w:val="20"/>
        </w:rPr>
        <w:instrText xml:space="preserve"> HYPERLINK "https://login.consultant.ru/link/?req=doc&amp;base=LAW&amp;n=532349&amp;dst=100956" \h </w:instrText>
      </w:r>
      <w:r w:rsidRPr="00DC28EB">
        <w:rPr>
          <w:rFonts w:ascii="Times New Roman" w:hAnsi="Times New Roman" w:cs="Times New Roman"/>
          <w:i/>
          <w:sz w:val="20"/>
          <w:szCs w:val="20"/>
        </w:rPr>
        <w:fldChar w:fldCharType="separate"/>
      </w:r>
      <w:r w:rsidRPr="00DC28EB">
        <w:rPr>
          <w:rFonts w:ascii="Times New Roman" w:hAnsi="Times New Roman" w:cs="Times New Roman"/>
          <w:i/>
          <w:sz w:val="20"/>
          <w:szCs w:val="20"/>
        </w:rPr>
        <w:br/>
        <w:t>&lt;Письмо&gt; Минздрава России от 24.02.2026 N 31-2/И/2-3021 (ред. от 03.04.2026) "О методических рекомендациях по способам оплаты медицинской помощи за счет средств обязательного медицинского страхования" (вместе с "Методическими рекомендациями по способам оплаты медицинской помощи за счет средств обязательного медицинского страхования", утв. Минздравом России N 31-2/И/2-2902, ФФОМС N 00-10-26-2-06/3109 20.02.2026) {</w:t>
      </w:r>
      <w:proofErr w:type="spellStart"/>
      <w:r w:rsidRPr="00DC28EB">
        <w:rPr>
          <w:rFonts w:ascii="Times New Roman" w:hAnsi="Times New Roman" w:cs="Times New Roman"/>
          <w:i/>
          <w:sz w:val="20"/>
          <w:szCs w:val="20"/>
        </w:rPr>
        <w:t>КонсультантПлюс</w:t>
      </w:r>
      <w:proofErr w:type="spellEnd"/>
      <w:r w:rsidRPr="00DC28EB">
        <w:rPr>
          <w:rFonts w:ascii="Times New Roman" w:hAnsi="Times New Roman" w:cs="Times New Roman"/>
          <w:i/>
          <w:sz w:val="20"/>
          <w:szCs w:val="20"/>
        </w:rPr>
        <w:t>}</w:t>
      </w:r>
      <w:r w:rsidRPr="00DC28EB">
        <w:rPr>
          <w:rFonts w:ascii="Times New Roman" w:hAnsi="Times New Roman" w:cs="Times New Roman"/>
          <w:i/>
          <w:sz w:val="20"/>
          <w:szCs w:val="20"/>
        </w:rPr>
        <w:fldChar w:fldCharType="end"/>
      </w:r>
      <w:bookmarkEnd w:id="1"/>
    </w:p>
    <w:sectPr w:rsidR="00DC28EB" w:rsidRPr="00DC28EB" w:rsidSect="00DC28EB">
      <w:pgSz w:w="11906" w:h="16838"/>
      <w:pgMar w:top="1701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2F"/>
    <w:rsid w:val="001A46AF"/>
    <w:rsid w:val="003838E5"/>
    <w:rsid w:val="00587E2F"/>
    <w:rsid w:val="00DC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4E2AA-CBFF-40C4-86FD-C49BB6FF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0892&amp;dst=10147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30892&amp;dst=1000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30892&amp;dst=100035" TargetMode="External"/><Relationship Id="rId5" Type="http://schemas.openxmlformats.org/officeDocument/2006/relationships/hyperlink" Target="https://login.consultant.ru/link/?req=doc&amp;base=LAW&amp;n=52059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0336E-37E2-4842-8C3E-8CB4D0D7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1373</Words>
  <Characters>7827</Characters>
  <Application>Microsoft Office Word</Application>
  <DocSecurity>0</DocSecurity>
  <Lines>65</Lines>
  <Paragraphs>18</Paragraphs>
  <ScaleCrop>false</ScaleCrop>
  <Company/>
  <LinksUpToDate>false</LinksUpToDate>
  <CharactersWithSpaces>9182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4</cp:revision>
  <cp:lastPrinted>2026-07-03T14:59:00Z</cp:lastPrinted>
  <dcterms:created xsi:type="dcterms:W3CDTF">2026-07-03T14:47:00Z</dcterms:created>
  <dcterms:modified xsi:type="dcterms:W3CDTF">2026-07-03T15:06:00Z</dcterms:modified>
</cp:coreProperties>
</file>